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40" w:lineRule="auto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5"/>
        <w:spacing w:line="240" w:lineRule="auto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ДОКЛАД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auto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об антимонопольном комплаенсе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auto"/>
        <w:jc w:val="center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в администрации города Нижнего Новгорода за 2025 год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40" w:lineRule="auto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40" w:lineRule="auto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казом Президента РФ от 21 декабря 2017 года № 618 «Об основных направлениях государственной политики по развитию конкуренции» высшим должностным лицам (руководителям высших исполнительных органов государственной власти) субъектов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 п</w:t>
      </w:r>
      <w:r>
        <w:rPr>
          <w:sz w:val="28"/>
          <w:szCs w:val="28"/>
        </w:rPr>
        <w:t xml:space="preserve">оручено в срок до 01 марта 2019 года принять меры, направленные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исполнительной власти субъектов Российской Федерации (</w:t>
      </w:r>
      <w:r>
        <w:rPr>
          <w:sz w:val="28"/>
          <w:szCs w:val="28"/>
        </w:rPr>
        <w:t xml:space="preserve">абзац 3 подпункта «е» пункта 2 Национального плана).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40" w:lineRule="auto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Указа Президента в администрации города Нижнего Новгорода организована и реализуется система внутреннего обеспечения соответстви</w:t>
      </w:r>
      <w:r>
        <w:rPr>
          <w:sz w:val="28"/>
          <w:szCs w:val="28"/>
        </w:rPr>
        <w:t xml:space="preserve">я деятельности администрации требованиям антимонопольного законодательства (далее - антимонопольный комплаенс)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В соответствии с рекомендациями по созданию и организации системы внутреннего обеспечения соответствия требованиям антимонопольного законодательства, утвержденных распоряжением Правительства Российской Федерации от 18.10.2018 № 2258-р, </w:t>
      </w:r>
      <w:r>
        <w:rPr>
          <w:sz w:val="28"/>
          <w:szCs w:val="28"/>
          <w:highlight w:val="none"/>
        </w:rPr>
        <w:t xml:space="preserve">распоряжением администрации города Нижнего Новгорода от 14.08.2025 № 502-р утверждено Положение об организации в администраци</w:t>
      </w:r>
      <w:r>
        <w:rPr>
          <w:sz w:val="28"/>
          <w:szCs w:val="28"/>
          <w:highlight w:val="none"/>
        </w:rPr>
        <w:t xml:space="preserve">и города Нижнего Новгорода системы внутреннего обеспечения соответствия требованиям антимонопольного законодательства - антимонопольный комплаенс (далее - Положение).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40" w:lineRule="auto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целях обеспечения открытости и доступности указанное Положение размещено на официальном сайте администрации города Нижнего Новгорода (ссылка: </w:t>
      </w:r>
      <w:r>
        <w:rPr>
          <w:sz w:val="28"/>
          <w:szCs w:val="28"/>
          <w:highlight w:val="none"/>
        </w:rPr>
      </w:r>
      <w:hyperlink r:id="rId9" w:tooltip="https://clck.ru/3S7awh" w:history="1">
        <w:r>
          <w:rPr>
            <w:rStyle w:val="982"/>
            <w:sz w:val="28"/>
            <w:szCs w:val="28"/>
            <w:highlight w:val="none"/>
          </w:rPr>
          <w:t xml:space="preserve">https://clck.ru/3S7awh</w:t>
        </w:r>
      </w:hyperlink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40" w:lineRule="auto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соответствии с пунктом 3.8 Положения оценку эффективности организации и функционирования в администрации города Нижнего Новгорода антимонопольного комплаенса осуществляет коллегиальный орган - 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комиссия по оценке эффективности организации и функционирования в администрации города Нижнего Новгорода антимонопольного комплаенса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40" w:lineRule="auto"/>
        <w:ind w:left="0" w:right="0" w:firstLine="0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highlight w:val="none"/>
          <w:u w:val="single"/>
        </w:rPr>
        <w:t xml:space="preserve">О результатах оценки рисков нарушения администрацией города </w:t>
      </w:r>
      <w:r>
        <w:rPr>
          <w:b/>
          <w:bCs/>
          <w:sz w:val="28"/>
          <w:szCs w:val="28"/>
          <w:highlight w:val="none"/>
          <w:u w:val="single"/>
        </w:rPr>
        <w:t xml:space="preserve">Нижнего Новгорода антимонопольного законодательства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spacing w:line="240" w:lineRule="auto"/>
        <w:ind w:left="0" w:right="0" w:firstLine="709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40" w:lineRule="auto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соответствии с Положением ф</w:t>
      </w:r>
      <w:r>
        <w:rPr>
          <w:sz w:val="28"/>
          <w:szCs w:val="28"/>
        </w:rPr>
        <w:t xml:space="preserve">ункции уполномоченных органов, связанные с организацией и функционированием антимонопольного комплаенса в администрации города Нижнего Новгорода, распределяются между: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40" w:lineRule="auto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экономического развития и инвестиций;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ind w:left="0" w:right="0" w:firstLine="709"/>
        <w:jc w:val="both"/>
      </w:pPr>
      <w:r>
        <w:rPr>
          <w:sz w:val="28"/>
          <w:szCs w:val="28"/>
        </w:rPr>
        <w:t xml:space="preserve">департаментом кадровой политики и развития муниципального управления;</w:t>
      </w:r>
    </w:p>
    <w:p>
      <w:pPr>
        <w:spacing w:line="240" w:lineRule="auto"/>
        <w:ind w:left="0" w:right="0" w:firstLine="709"/>
        <w:jc w:val="both"/>
      </w:pPr>
      <w:r>
        <w:rPr>
          <w:sz w:val="28"/>
          <w:szCs w:val="28"/>
        </w:rPr>
        <w:t xml:space="preserve">юридическим департаментом; </w:t>
      </w:r>
    </w:p>
    <w:p>
      <w:pPr>
        <w:spacing w:line="240" w:lineRule="auto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отраслевыми (функциональными) и территориальные органами администрации в рамках компетенции.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комплаенс-рисками п</w:t>
      </w:r>
      <w:r>
        <w:rPr>
          <w:sz w:val="28"/>
          <w:szCs w:val="28"/>
        </w:rPr>
        <w:t xml:space="preserve">онимаются те потенциально возможные события, обстоятельства и факторы, поддающиеся определению и оценке, которые влияют на наступление такого неблагоприятного события, как нарушение администрацией города Нижнего Новгорода антимонопольного законодательства.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целях выявления и оценки комплаенс-рисков </w:t>
      </w:r>
      <w:r>
        <w:rPr>
          <w:sz w:val="28"/>
          <w:szCs w:val="28"/>
        </w:rPr>
        <w:t xml:space="preserve">департаментом экономического развития и инвестиций в 2025 году </w:t>
      </w:r>
      <w:r>
        <w:rPr>
          <w:sz w:val="28"/>
          <w:szCs w:val="28"/>
        </w:rPr>
        <w:t xml:space="preserve">проведены мероприятия, связанные с анализом соблюдения администрацией города Нижнего Новгорода антимонопольного законодательства.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05"/>
        <w:numPr>
          <w:numId w:val="33"/>
          <w:ilvl w:val="0"/>
        </w:numPr>
        <w:ind w:left="0" w:right="0"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сфере закупок товаров, работ, услуг для обеспечения муниципальных нужд выявлено следующее.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136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2025 году в Управление Федеральной антимонопольной службы по Нижегородской области (далее также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Нижегородское УФАС России, контрольный орган)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конкурентные процедуры,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размещаемые уполномоченным органом - департаментом экономического развития и инвестиций администрации города Нижнего Новгорода (далее – департамент),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поступило 28 жалоб от участников закупок на действия (бездействие) заказчика и комиссии по определению поставщика (подрядчика, испол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нителя).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136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Из 28 рассмотренных жалоб 5 жалоб были признаны контрольным органом обоснованными в части нарушений, допущенных заказчиком при формировании документации о закупке.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Нарушений в отношении уполномоченного органа контрольным органом не выявлено.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136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 итогам рассмотрения Нижегородским УФАС России ни одна из закупок не была аннулирована, что говорит о том, что выявленные нарушения  незначительны и не потребовали отмены закупки.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136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Вместе с тем в 2024 году в отношении закупок, проводимых департаментом, в Нижегородский УФАС России поступила 31 жалоба, из них 9 жалоб были признаны обоснованными.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Нарушений в отношении уполномоченного органа со стороны контрольного органа также не было выявлено.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136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Сокращение количества жалоб, признанных обоснованными, свидетельствует о положительной динамике.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136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  <w:t xml:space="preserve">Кроме того, в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рамках антимонопольного к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омплаенса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департаментом экономического развития и инвестици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й администрации города Нижнего Новгорода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осуществлен сбор сведений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в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отраслевых (функциональных) и территориальных органах администрации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города Нижнего Новгорода о наличии нарушений антимонопольного законодательства.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2025 году к</w:t>
      </w:r>
      <w:r>
        <w:rPr>
          <w:sz w:val="28"/>
          <w:szCs w:val="28"/>
        </w:rPr>
        <w:t xml:space="preserve">онтрольно-ревизионным управлением администрации города Нижнего Новгорода (далее - </w:t>
      </w:r>
      <w:r>
        <w:rPr>
          <w:sz w:val="28"/>
          <w:szCs w:val="28"/>
          <w:highlight w:val="none"/>
        </w:rPr>
        <w:t xml:space="preserve">контрольно-ревизионное управление) </w:t>
      </w:r>
      <w:r>
        <w:rPr>
          <w:sz w:val="28"/>
          <w:szCs w:val="28"/>
        </w:rPr>
        <w:t xml:space="preserve">проведены проверки территориальных органов  администрации города Нижнего Новгорода и </w:t>
      </w:r>
      <w:r>
        <w:rPr>
          <w:sz w:val="28"/>
          <w:szCs w:val="28"/>
        </w:rPr>
        <w:t xml:space="preserve">подведомственных администрации города Нижнего Новгорода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t xml:space="preserve">на предмет соблюдения требований </w:t>
      </w:r>
      <w:r>
        <w:rPr>
          <w:sz w:val="28"/>
          <w:szCs w:val="28"/>
        </w:rPr>
        <w:t xml:space="preserve">Федерального закона от 05.04.2013 № 44-ФЗ</w:t>
      </w:r>
      <w:r>
        <w:rPr>
          <w:spacing w:val="8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 контрактной системе в сфере закупок товаров, работ, услуг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нужд» (далее – Закон о контрактной системе)</w:t>
      </w:r>
      <w:r>
        <w:rPr>
          <w:sz w:val="28"/>
          <w:szCs w:val="28"/>
        </w:rPr>
        <w:t xml:space="preserve"> при проведении закупок товаров, работ, услуг для обеспечения муниципальных нужд.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1273" w:leader="none"/>
          <w:tab w:val="left" w:pos="10063" w:leader="none"/>
        </w:tabs>
        <w:spacing w:before="0" w:after="0" w:line="240" w:lineRule="auto"/>
        <w:ind w:left="0" w:right="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 результатам проведенных проверок </w:t>
      </w:r>
      <w:r>
        <w:rPr>
          <w:sz w:val="28"/>
          <w:szCs w:val="28"/>
          <w:highlight w:val="white"/>
        </w:rPr>
        <w:t xml:space="preserve">контрольно-ревизионным управлением </w:t>
      </w:r>
      <w:r>
        <w:rPr>
          <w:sz w:val="28"/>
          <w:szCs w:val="28"/>
          <w:highlight w:val="white"/>
        </w:rPr>
        <w:t xml:space="preserve">выявлены нарушения </w:t>
      </w:r>
      <w:r>
        <w:rPr>
          <w:sz w:val="28"/>
          <w:szCs w:val="28"/>
          <w:highlight w:val="white"/>
        </w:rPr>
        <w:t xml:space="preserve">в сфере закупок товаров, </w:t>
      </w:r>
      <w:r>
        <w:rPr>
          <w:sz w:val="28"/>
          <w:szCs w:val="28"/>
          <w:highlight w:val="white"/>
        </w:rPr>
        <w:t xml:space="preserve">работ, услуг для обеспечения муниципальных нужд по следующим направлениям: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05"/>
        <w:numPr>
          <w:numId w:val="66"/>
          <w:ilvl w:val="0"/>
        </w:numPr>
        <w:suppressLineNumbers w:val="0"/>
        <w:tabs>
          <w:tab w:val="left" w:pos="1273" w:leader="none"/>
        </w:tabs>
        <w:spacing w:before="0" w:after="0" w:line="240" w:lineRule="auto"/>
        <w:ind w:left="0" w:right="1" w:firstLine="709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планирование закупок, формирование и размещение планов-графиков закупок;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05"/>
        <w:numPr>
          <w:numId w:val="66"/>
          <w:ilvl w:val="0"/>
        </w:numPr>
        <w:suppressLineNumbers w:val="0"/>
        <w:tabs>
          <w:tab w:val="left" w:pos="1273" w:leader="none"/>
        </w:tabs>
        <w:spacing w:before="0" w:after="0" w:line="240" w:lineRule="auto"/>
        <w:ind w:left="0" w:right="1" w:firstLine="709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</w:r>
      <w:r>
        <w:rPr>
          <w:sz w:val="28"/>
          <w:szCs w:val="28"/>
          <w:highlight w:val="white"/>
        </w:rPr>
        <w:t xml:space="preserve">нормирование закупок;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05"/>
        <w:numPr>
          <w:numId w:val="66"/>
          <w:ilvl w:val="0"/>
        </w:numPr>
        <w:suppressLineNumbers w:val="0"/>
        <w:tabs>
          <w:tab w:val="left" w:pos="1273" w:leader="none"/>
        </w:tabs>
        <w:spacing w:before="0" w:after="0" w:line="240" w:lineRule="auto"/>
        <w:ind w:left="0" w:right="1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заключение, изменение, исполнение, расторжение контрактов;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05"/>
        <w:numPr>
          <w:numId w:val="66"/>
          <w:ilvl w:val="0"/>
        </w:numPr>
        <w:suppressLineNumbers w:val="0"/>
        <w:tabs>
          <w:tab w:val="left" w:pos="1273" w:leader="none"/>
        </w:tabs>
        <w:spacing w:before="0" w:after="0" w:line="240" w:lineRule="auto"/>
        <w:ind w:left="0" w:right="1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нарушения при заключении договоров с единственным поставщиком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05"/>
        <w:numPr>
          <w:numId w:val="66"/>
          <w:ilvl w:val="0"/>
        </w:numPr>
        <w:suppressLineNumbers w:val="0"/>
        <w:tabs>
          <w:tab w:val="left" w:pos="1273" w:leader="none"/>
        </w:tabs>
        <w:spacing w:before="0" w:after="0" w:line="240" w:lineRule="auto"/>
        <w:ind w:left="0" w:right="1"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нарушения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при размещении информации и документов в Единой информационной системе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;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05"/>
        <w:numPr>
          <w:numId w:val="66"/>
          <w:ilvl w:val="0"/>
        </w:numPr>
        <w:suppressLineNumbers w:val="0"/>
        <w:tabs>
          <w:tab w:val="left" w:pos="1273" w:leader="none"/>
        </w:tabs>
        <w:spacing w:before="0" w:after="0" w:line="240" w:lineRule="auto"/>
        <w:ind w:left="0" w:right="1" w:firstLine="709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нарушения при осуществлении закупок 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субъектов малого предпринимательства и социально ориентированных некоммерческих организаций,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закупках российских и иностранных товаров и при размещении отчетов о них.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136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pPr>
      <w:r>
        <w:rPr>
          <w:b w:val="0"/>
          <w:bCs w:val="0"/>
          <w:sz w:val="28"/>
          <w:highlight w:val="none"/>
          <w:u w:val="none"/>
        </w:rPr>
      </w:r>
      <w:r>
        <w:rPr>
          <w:b w:val="0"/>
          <w:bCs w:val="0"/>
          <w:sz w:val="28"/>
          <w:szCs w:val="28"/>
          <w:highlight w:val="none"/>
          <w:u w:val="none"/>
        </w:rPr>
        <w:t xml:space="preserve">2. В сфере исполнения требований </w:t>
      </w:r>
      <w:r>
        <w:rPr>
          <w:b w:val="0"/>
          <w:bCs w:val="0"/>
          <w:sz w:val="28"/>
          <w:szCs w:val="28"/>
          <w:u w:val="none"/>
        </w:rPr>
        <w:t xml:space="preserve">Федерального закона от 26.07.2006 №135-ФЗ «О защите конкуренции» </w:t>
      </w:r>
      <w:r>
        <w:rPr>
          <w:sz w:val="28"/>
          <w:szCs w:val="28"/>
          <w:u w:val="none"/>
        </w:rPr>
        <w:t xml:space="preserve">(далее – Закон о защите конкуренции)</w:t>
      </w:r>
      <w:r>
        <w:rPr>
          <w:sz w:val="28"/>
          <w:szCs w:val="28"/>
          <w:u w:val="none"/>
        </w:rPr>
        <w:t xml:space="preserve"> </w:t>
      </w:r>
      <w:r>
        <w:rPr>
          <w:b w:val="0"/>
          <w:bCs w:val="0"/>
          <w:sz w:val="28"/>
          <w:szCs w:val="28"/>
          <w:highlight w:val="none"/>
          <w:u w:val="none"/>
        </w:rPr>
        <w:t xml:space="preserve">выявлено следующее.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tabs>
          <w:tab w:val="left" w:pos="1273" w:leader="none"/>
        </w:tabs>
        <w:spacing w:before="0" w:after="0" w:line="240" w:lineRule="auto"/>
        <w:ind w:left="0" w:right="136" w:firstLine="709"/>
        <w:jc w:val="both"/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szCs w:val="28"/>
        </w:rPr>
        <w:t xml:space="preserve">Управлением Федеральной антимонопольной службы по Нижегородской области администрации было выдано </w:t>
      </w:r>
      <w:r>
        <w:rPr>
          <w:sz w:val="28"/>
          <w:szCs w:val="28"/>
        </w:rPr>
        <w:t xml:space="preserve">предупреждение о прекращении действий (бездействия)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которые содержат признаки нарушения антимонопольного законодательства, а именно части 1 статьи 15 </w:t>
      </w:r>
      <w:r>
        <w:rPr>
          <w:sz w:val="28"/>
          <w:szCs w:val="28"/>
          <w:u w:val="none"/>
        </w:rPr>
        <w:t xml:space="preserve">Закона о защите конкуренции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3" w:leader="none"/>
        </w:tabs>
        <w:spacing w:before="0" w:after="0" w:line="240" w:lineRule="auto"/>
        <w:ind w:left="0" w:right="13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 </w:t>
      </w:r>
      <w:r>
        <w:rPr>
          <w:sz w:val="28"/>
          <w:szCs w:val="28"/>
        </w:rPr>
        <w:t xml:space="preserve">выразилось в виде непроведения конкурентной процедуры передачи прав владения земельным участком.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3" w:leader="none"/>
        </w:tabs>
        <w:spacing w:before="0" w:after="0" w:line="240" w:lineRule="auto"/>
        <w:ind w:left="0" w:right="136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Указанное предупреждение обжаловано администрацией в судебном порядке. Судом отказано в удовлетворении заявленных требований.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1273" w:leader="none"/>
        </w:tabs>
        <w:spacing w:before="0" w:after="0" w:line="240" w:lineRule="auto"/>
        <w:ind w:left="0" w:right="13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тем, что указанное предупреждение не исполнено в установленный срок</w:t>
      </w:r>
      <w:r>
        <w:rPr>
          <w:sz w:val="28"/>
          <w:szCs w:val="28"/>
        </w:rPr>
        <w:t xml:space="preserve">, Нижегородским УФАС России в отношении администрации города Нижнего Новгорода возбуждено дело о нарушении антимонопольного законодательства и выдано предписание, которое в настоящее время также обжалуется в суде.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3" w:leader="none"/>
        </w:tabs>
        <w:spacing w:before="0" w:after="0" w:line="240" w:lineRule="auto"/>
        <w:ind w:left="0" w:right="136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3. Анализ выявленных нарушений при подготовке администрацией города Нижнего Новгорода ответов на обращения физических и юридических лиц.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1273" w:leader="none"/>
        </w:tabs>
        <w:spacing w:before="0" w:after="0" w:line="240" w:lineRule="auto"/>
        <w:ind w:left="0" w:right="136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Администрация города Нижнего Новгорода осуществляет контроль за соблюдением порядка рассмотрения обращений граждан в соответствии с  Федеральным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tabs>
          <w:tab w:val="left" w:pos="1273" w:leader="none"/>
        </w:tabs>
        <w:spacing w:before="0" w:after="0" w:line="240" w:lineRule="auto"/>
        <w:ind w:left="0" w:right="136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Надзор за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соблюдением порядка рассмотрения обращений граждан осуществляется органами прокуратуры.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tabs>
          <w:tab w:val="left" w:pos="1273" w:leader="none"/>
        </w:tabs>
        <w:spacing w:before="0" w:after="0" w:line="240" w:lineRule="auto"/>
        <w:ind w:left="0" w:right="136"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2025 год органами прокуратуры были выявлены нарушения порядка рассмотрения обращения граждан.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1273" w:leader="none"/>
        </w:tabs>
        <w:spacing w:before="0" w:after="0" w:line="240" w:lineRule="auto"/>
        <w:ind w:left="0" w:right="136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sz w:val="28"/>
          <w:szCs w:val="28"/>
          <w:highlight w:val="none"/>
        </w:rPr>
        <w:t xml:space="preserve">Все выявленные нарушения устранены. С сотрудниками, допустившими  нарушения, проведена работа по разъяснению положений законодательства о порядке рассмотрения обращений граждан.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tabs>
          <w:tab w:val="left" w:pos="1273" w:leader="none"/>
        </w:tabs>
        <w:spacing w:before="0" w:after="0" w:line="240" w:lineRule="auto"/>
        <w:ind w:left="0" w:right="136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</w:rPr>
        <w:t xml:space="preserve">4. Анализ нарушений антимонопольного законодательства при </w:t>
      </w:r>
      <w:r>
        <w:rPr>
          <w:sz w:val="28"/>
        </w:rPr>
        <w:t xml:space="preserve">подготовке и издании муниципальных правовых актов</w:t>
      </w:r>
      <w:r>
        <w:rPr>
          <w:sz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1273" w:leader="none"/>
        </w:tabs>
        <w:spacing w:before="0" w:after="0" w:line="240" w:lineRule="auto"/>
        <w:ind w:left="0" w:right="136" w:firstLine="709"/>
        <w:jc w:val="both"/>
        <w:rPr>
          <w:sz w:val="28"/>
          <w:szCs w:val="28"/>
        </w:rPr>
      </w:pPr>
      <w:r>
        <w:rPr>
          <w:sz w:val="28"/>
        </w:rPr>
        <w:t xml:space="preserve">В целях выявления рисков нарушения антимонопольного законодательства при подготовке и издании муниципальных правовых актов юридическим департаментом администрации города Нижнего Новгорода проводится правовая и антикоррупционная экспертиза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</w:t>
      </w:r>
      <w:r>
        <w:rPr>
          <w:spacing w:val="40"/>
          <w:sz w:val="28"/>
          <w:szCs w:val="28"/>
        </w:rPr>
        <w:t xml:space="preserve">с </w:t>
      </w:r>
      <w:r>
        <w:rPr>
          <w:sz w:val="28"/>
          <w:szCs w:val="28"/>
        </w:rPr>
        <w:t xml:space="preserve">Положением о порядке подготовки и издания муниципальных правовых актов</w:t>
      </w:r>
      <w:r>
        <w:rPr>
          <w:sz w:val="28"/>
          <w:szCs w:val="28"/>
        </w:rPr>
        <w:t xml:space="preserve">, утвержденным распоряжением администрации</w:t>
      </w:r>
      <w:r>
        <w:rPr>
          <w:sz w:val="28"/>
          <w:szCs w:val="28"/>
        </w:rPr>
        <w:t xml:space="preserve"> города Нижнего Новгорода от 10.03.2021 № 164-р.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3" w:leader="none"/>
        </w:tabs>
        <w:spacing w:before="0" w:after="0" w:line="240" w:lineRule="auto"/>
        <w:ind w:left="0" w:right="136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 подготовке </w:t>
      </w:r>
      <w:r>
        <w:rPr>
          <w:sz w:val="28"/>
          <w:szCs w:val="28"/>
        </w:rPr>
        <w:t xml:space="preserve">проектов муниципальных нормативных актов, устанавливающих новые или изменяющие ранее предусмотренные обязанности в отношении субъектов предпринимательской и инвестиционной деятельности, </w:t>
      </w:r>
      <w:r>
        <w:rPr>
          <w:sz w:val="28"/>
          <w:szCs w:val="28"/>
        </w:rPr>
        <w:t xml:space="preserve">администрацией города Нижнего Новгорода проводится оценка регулирующего воздействия </w:t>
      </w:r>
      <w:r>
        <w:rPr>
          <w:sz w:val="28"/>
          <w:szCs w:val="28"/>
        </w:rPr>
        <w:t xml:space="preserve">(далее – ОРВ)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1273" w:leader="none"/>
        </w:tabs>
        <w:spacing w:before="0" w:after="0" w:line="240" w:lineRule="auto"/>
        <w:ind w:left="0" w:right="136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2025 году администрацией города Нижнего Новгорода проведено 25 процедур ОРВ.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1273" w:leader="none"/>
        </w:tabs>
        <w:spacing w:before="0" w:after="0" w:line="240" w:lineRule="auto"/>
        <w:ind w:left="0" w:right="136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целях повышения эффективности института ОРВ а</w:t>
      </w:r>
      <w:r>
        <w:rPr>
          <w:sz w:val="28"/>
          <w:szCs w:val="28"/>
          <w:highlight w:val="none"/>
        </w:rPr>
        <w:t xml:space="preserve">дминистрацией города Нижнего Новгорода с </w:t>
      </w:r>
      <w:r>
        <w:rPr>
          <w:sz w:val="28"/>
          <w:szCs w:val="28"/>
        </w:rPr>
        <w:t xml:space="preserve">министерством экономического развития и инвестиций Нижегородской области</w:t>
      </w:r>
      <w:r>
        <w:rPr>
          <w:sz w:val="28"/>
          <w:szCs w:val="28"/>
        </w:rPr>
        <w:t xml:space="preserve"> заключено соглашение о проведении ОРВ.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1273" w:leader="none"/>
        </w:tabs>
        <w:spacing w:before="0" w:after="0" w:line="240" w:lineRule="auto"/>
        <w:ind w:left="0" w:right="136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Кроме того, в целях</w:t>
      </w:r>
      <w:r>
        <w:rPr>
          <w:sz w:val="28"/>
          <w:szCs w:val="28"/>
        </w:rPr>
        <w:t xml:space="preserve"> выявления </w:t>
      </w:r>
      <w:r>
        <w:rPr>
          <w:sz w:val="28"/>
          <w:szCs w:val="28"/>
        </w:rPr>
        <w:t xml:space="preserve">лучших практик реализации ОРВ на муниципальном уровне министерством экономического развития и инвестиций Нижегородской области формируется рейтинг качества осуществления ОРВ и экспертизы в муниципальных образованиях Нижегородской области (далее – Рейтинг).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1273" w:leader="none"/>
        </w:tabs>
        <w:spacing w:before="0" w:after="0" w:line="240" w:lineRule="auto"/>
        <w:ind w:left="0" w:right="136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 итогам Рейтинга за 2025 год администрация города Нижнего Новгорода входит в группу «высшего уровня» и входит в топ-10 по качеству осуществления ОРВ среди муниципальных образований.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2"/>
        <w:spacing w:before="1"/>
        <w:ind w:right="135" w:firstLine="679"/>
      </w:pPr>
      <w:r>
        <w:rPr>
          <w:highlight w:val="none"/>
        </w:rPr>
      </w:r>
      <w:r>
        <w:rPr>
          <w:sz w:val="28"/>
          <w:szCs w:val="28"/>
        </w:rPr>
        <w:t xml:space="preserve">Кроме того, м</w:t>
      </w:r>
      <w:r>
        <w:rPr>
          <w:highlight w:val="none"/>
        </w:rPr>
        <w:t xml:space="preserve">ежду </w:t>
      </w:r>
      <w:r>
        <w:rPr>
          <w:highlight w:val="none"/>
        </w:rPr>
        <w:t xml:space="preserve">администрацией </w:t>
      </w:r>
      <w:r>
        <w:rPr>
          <w:highlight w:val="none"/>
        </w:rPr>
        <w:t xml:space="preserve">города Нижнего Новгорода и прокуратурой города Нижнего Новгорода заключено </w:t>
      </w:r>
      <w:r>
        <w:rPr>
          <w:highlight w:val="none"/>
        </w:rPr>
        <w:t xml:space="preserve">Соглашение о взаимодействии </w:t>
      </w:r>
      <w:r>
        <w:rPr>
          <w:highlight w:val="none"/>
        </w:rPr>
        <w:t xml:space="preserve">в </w:t>
      </w:r>
      <w:r>
        <w:rPr>
          <w:highlight w:val="none"/>
        </w:rPr>
        <w:t xml:space="preserve">правотворческой сфере. </w:t>
      </w:r>
      <w:r>
        <w:t xml:space="preserve">В соответствии с данным соглашением а</w:t>
      </w:r>
      <w:r>
        <w:rPr>
          <w:highlight w:val="white"/>
        </w:rPr>
        <w:t xml:space="preserve">дми</w:t>
      </w:r>
      <w:r>
        <w:rPr>
          <w:highlight w:val="white"/>
        </w:rPr>
        <w:t xml:space="preserve">нистрация города Нижнего Новгорода обеспечив</w:t>
      </w:r>
      <w:r>
        <w:t xml:space="preserve">ает направление в прокуратуру города Нижнего Новгорода проектов муниципальных правовых актов. </w:t>
      </w:r>
      <w:r>
        <w:t xml:space="preserve">В свою очередь, прокуратура</w:t>
      </w:r>
      <w:r>
        <w:t xml:space="preserve"> города Нижнего Новг</w:t>
      </w:r>
      <w:r>
        <w:t xml:space="preserve">орода осущест</w:t>
      </w:r>
      <w:r>
        <w:t xml:space="preserve">вляет рассмотрение проектов муниципальных правовых актов на предмет их соответствия действующему законодательству, а также проводит антикоррупционную экспертизу проектов муниципальных правовых актов.</w:t>
      </w:r>
      <w:r>
        <w:rPr>
          <w:highlight w:val="none"/>
        </w:rPr>
      </w:r>
    </w:p>
    <w:p>
      <w:pPr>
        <w:pStyle w:val="992"/>
        <w:spacing w:before="1"/>
        <w:ind w:right="135" w:firstLine="679"/>
        <w:rPr>
          <w:highlight w:val="none"/>
        </w:rPr>
      </w:pPr>
      <w:r>
        <w:t xml:space="preserve">Проводимые администрацией города Нижнего Новгорода на постоянной основе правовая и антикоррупционная экспертизы проектов нормативных правовых актов направлены на выявление и исключение случаев нарушения </w:t>
      </w:r>
      <w:r>
        <w:t xml:space="preserve">требований</w:t>
      </w:r>
      <w:r>
        <w:rPr>
          <w:spacing w:val="40"/>
        </w:rPr>
        <w:t xml:space="preserve"> </w:t>
      </w:r>
      <w:r>
        <w:t xml:space="preserve">законодательства Российской Федерации, в том числе в части антимонопольного регулирования, выявление в них коррупциогенных факторов и их последующее устранение.</w:t>
      </w:r>
      <w:r>
        <w:rPr>
          <w:highlight w:val="none"/>
        </w:rPr>
      </w:r>
      <w:r>
        <w:rPr>
          <w:highlight w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pP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  <w:t xml:space="preserve">На основании проведенного анализа разработана карта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  <w:t xml:space="preserve">комплаенс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  <w:t xml:space="preserve">-рисков 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  <w:t xml:space="preserve">составлен план мероприятий («дорожная карта») по снижению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single"/>
        </w:rPr>
        <w:t xml:space="preserve">комплаенс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  <w:t xml:space="preserve">-рисков администрации города Нижнего Новгорода на 2026 год.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r>
    </w:p>
    <w:p>
      <w:pPr>
        <w:pStyle w:val="992"/>
        <w:ind w:right="140"/>
      </w:pPr>
      <w:r>
        <w:rPr>
          <w:highlight w:val="none"/>
        </w:rPr>
      </w:r>
      <w:r>
        <w:rPr>
          <w:highlight w:val="none"/>
        </w:rPr>
      </w:r>
    </w:p>
    <w:p>
      <w:pPr>
        <w:pStyle w:val="992"/>
        <w:ind w:right="140"/>
        <w:rPr>
          <w:b w:val="0"/>
          <w:bCs w:val="0"/>
          <w:sz w:val="28"/>
          <w:szCs w:val="28"/>
          <w:highlight w:val="none"/>
          <w:u w:val="none"/>
        </w:rPr>
      </w:pPr>
      <w:r>
        <w:rPr>
          <w:b w:val="0"/>
          <w:bCs w:val="0"/>
          <w:sz w:val="28"/>
          <w:szCs w:val="28"/>
          <w:highlight w:val="none"/>
          <w:u w:val="none"/>
        </w:rPr>
        <w:t xml:space="preserve"> </w:t>
      </w:r>
      <w:r>
        <w:rPr>
          <w:b w:val="0"/>
          <w:bCs w:val="0"/>
          <w:sz w:val="28"/>
          <w:szCs w:val="28"/>
          <w:highlight w:val="none"/>
          <w:u w:val="none"/>
        </w:rPr>
      </w:r>
      <w:r>
        <w:rPr>
          <w:b w:val="0"/>
          <w:bCs w:val="0"/>
          <w:sz w:val="28"/>
          <w:szCs w:val="28"/>
          <w:highlight w:val="none"/>
          <w:u w:val="none"/>
        </w:rPr>
      </w:r>
    </w:p>
    <w:p>
      <w:pPr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Style w:val="965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  <w:t xml:space="preserve">Предложения по плану мероприятий («дорожная карта») по снижению комплаенс-рисков администрации города Нижнего Новгорода 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u w:val="single"/>
        </w:rPr>
        <w:t xml:space="preserve">на 2026 год 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jc w:val="lef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ind w:left="0" w:right="0" w:firstLine="992"/>
        <w:jc w:val="both"/>
        <w:rPr>
          <w:b w:val="0"/>
          <w:bCs w:val="0"/>
          <w:sz w:val="28"/>
          <w:szCs w:val="28"/>
          <w:highlight w:val="none"/>
          <w:u w:val="none"/>
        </w:rPr>
      </w:pPr>
      <w:r>
        <w:rPr>
          <w:b w:val="0"/>
          <w:bCs w:val="0"/>
          <w:sz w:val="28"/>
          <w:szCs w:val="28"/>
          <w:u w:val="none"/>
        </w:rPr>
        <w:t xml:space="preserve">Для про</w:t>
      </w:r>
      <w:r>
        <w:rPr>
          <w:b w:val="0"/>
          <w:bCs w:val="0"/>
          <w:sz w:val="28"/>
          <w:szCs w:val="28"/>
          <w:u w:val="none"/>
        </w:rPr>
        <w:t xml:space="preserve">филактики и снижения рисков нарушения администрацией города Нижнего Новгорода антимонопольного законодательства рекомендуется:</w:t>
      </w:r>
      <w:r>
        <w:rPr>
          <w:b w:val="0"/>
          <w:bCs w:val="0"/>
          <w:sz w:val="28"/>
          <w:szCs w:val="28"/>
          <w:highlight w:val="none"/>
          <w:u w:val="none"/>
        </w:rPr>
      </w:r>
      <w:r>
        <w:rPr>
          <w:b w:val="0"/>
          <w:bCs w:val="0"/>
          <w:sz w:val="28"/>
          <w:szCs w:val="28"/>
          <w:highlight w:val="none"/>
          <w:u w:val="none"/>
        </w:rPr>
      </w:r>
    </w:p>
    <w:p>
      <w:pPr>
        <w:pStyle w:val="805"/>
        <w:numPr>
          <w:numId w:val="57"/>
          <w:ilvl w:val="0"/>
        </w:numPr>
        <w:ind w:left="0" w:right="0" w:firstLine="992"/>
        <w:jc w:val="both"/>
        <w:rPr>
          <w:b w:val="0"/>
          <w:bCs w:val="0"/>
          <w:sz w:val="28"/>
          <w:szCs w:val="28"/>
          <w:u w:val="none"/>
        </w:rPr>
      </w:pPr>
      <w:r>
        <w:rPr>
          <w:sz w:val="28"/>
          <w:szCs w:val="28"/>
          <w:highlight w:val="none"/>
        </w:rPr>
        <w:t xml:space="preserve">Департаменту кадровой политики и развитию муниципального управления:</w:t>
      </w:r>
      <w:r>
        <w:rPr>
          <w:b w:val="0"/>
          <w:bCs w:val="0"/>
          <w:sz w:val="28"/>
          <w:szCs w:val="28"/>
          <w:u w:val="none"/>
        </w:rPr>
      </w:r>
      <w:r>
        <w:rPr>
          <w:b w:val="0"/>
          <w:bCs w:val="0"/>
          <w:sz w:val="28"/>
          <w:szCs w:val="28"/>
          <w:u w:val="none"/>
        </w:rPr>
      </w:r>
    </w:p>
    <w:p>
      <w:pPr>
        <w:pStyle w:val="805"/>
        <w:numPr>
          <w:numId w:val="45"/>
          <w:ilvl w:val="0"/>
        </w:numPr>
        <w:suppressLineNumbers w:val="0"/>
        <w:ind w:left="0" w:right="0" w:firstLine="567"/>
        <w:jc w:val="both"/>
        <w:rPr>
          <w:b w:val="0"/>
          <w:bCs w:val="0"/>
          <w:sz w:val="28"/>
          <w:szCs w:val="28"/>
          <w:u w:val="none"/>
        </w:rPr>
      </w:pPr>
      <w:r>
        <w:rPr>
          <w:sz w:val="28"/>
          <w:szCs w:val="28"/>
          <w:highlight w:val="none"/>
        </w:rPr>
        <w:t xml:space="preserve">при поступлении на муниципальную службу обеспечить </w:t>
      </w:r>
      <w:r>
        <w:rPr>
          <w:sz w:val="28"/>
          <w:szCs w:val="28"/>
          <w:highlight w:val="none"/>
        </w:rPr>
        <w:t xml:space="preserve">ознакомление  кандидатов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none"/>
        </w:rPr>
        <w:t xml:space="preserve">с </w:t>
      </w:r>
      <w:r>
        <w:rPr>
          <w:sz w:val="28"/>
          <w:szCs w:val="28"/>
          <w:highlight w:val="none"/>
        </w:rPr>
        <w:t xml:space="preserve">Положением об организации в администраци</w:t>
      </w:r>
      <w:r>
        <w:rPr>
          <w:sz w:val="28"/>
          <w:szCs w:val="28"/>
          <w:highlight w:val="none"/>
        </w:rPr>
        <w:t xml:space="preserve">и города Нижнего Новгорода системы внутреннего обеспечения соответствия требованиям антимонопольного законодательства, утвержденным </w:t>
      </w:r>
      <w:r>
        <w:rPr>
          <w:sz w:val="28"/>
          <w:szCs w:val="28"/>
          <w:highlight w:val="none"/>
        </w:rPr>
        <w:t xml:space="preserve"> распоряжением администрации города Нижнего Новгорода от 14.08.2025 № 502-р; </w:t>
      </w:r>
      <w:r>
        <w:rPr>
          <w:b w:val="0"/>
          <w:bCs w:val="0"/>
          <w:sz w:val="28"/>
          <w:szCs w:val="28"/>
          <w:u w:val="none"/>
        </w:rPr>
      </w:r>
      <w:r>
        <w:rPr>
          <w:b w:val="0"/>
          <w:bCs w:val="0"/>
          <w:sz w:val="28"/>
          <w:szCs w:val="28"/>
          <w:u w:val="none"/>
        </w:rPr>
      </w:r>
    </w:p>
    <w:p>
      <w:pPr>
        <w:pStyle w:val="805"/>
        <w:numPr>
          <w:numId w:val="44"/>
          <w:ilvl w:val="0"/>
        </w:numPr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осуществлять контроль за наличием вопросов по антимонопольному комплаенсу сотрудникам, занятым в закупках, членам контрактной службы, комиссий по осуществлению закупок при проведении аттестации муниципальных служащих.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992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О</w:t>
      </w:r>
      <w:r>
        <w:rPr>
          <w:sz w:val="28"/>
          <w:szCs w:val="28"/>
        </w:rPr>
        <w:t xml:space="preserve">траслевым (функциональным) и территориальным органам администрации города Нижнего Новгорода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05"/>
        <w:numPr>
          <w:numId w:val="43"/>
          <w:ilvl w:val="0"/>
        </w:numPr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целях повы</w:t>
      </w:r>
      <w:r>
        <w:rPr>
          <w:sz w:val="28"/>
          <w:szCs w:val="28"/>
          <w:highlight w:val="none"/>
        </w:rPr>
        <w:t xml:space="preserve">шения кв</w:t>
      </w:r>
      <w:r>
        <w:rPr>
          <w:sz w:val="28"/>
          <w:szCs w:val="28"/>
          <w:highlight w:val="none"/>
        </w:rPr>
        <w:t xml:space="preserve">алификации сотрудников, занятых в закупках, членов контрактной службы, комиссий по осуществлению закупок, организовать обучение в формате семинаров, вебинаров, круглых столов по вопросам применения антимонопольного законодательства;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05"/>
        <w:numPr>
          <w:numId w:val="43"/>
          <w:ilvl w:val="0"/>
        </w:numPr>
        <w:ind w:left="0" w:right="0" w:firstLine="567"/>
        <w:jc w:val="both"/>
        <w:rPr>
          <w:b w:val="0"/>
          <w:bCs w:val="0"/>
          <w:sz w:val="28"/>
          <w:szCs w:val="28"/>
          <w:highlight w:val="none"/>
          <w:u w:val="none"/>
        </w:rPr>
      </w:pPr>
      <w:r>
        <w:rPr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  <w:u w:val="none"/>
        </w:rPr>
        <w:t xml:space="preserve">на постоянной основе осуществлять мониторинг изменений антимонопольного законодательства;</w:t>
      </w:r>
      <w:r>
        <w:rPr>
          <w:b w:val="0"/>
          <w:bCs w:val="0"/>
          <w:sz w:val="28"/>
          <w:szCs w:val="28"/>
          <w:highlight w:val="none"/>
          <w:u w:val="none"/>
        </w:rPr>
      </w:r>
      <w:r>
        <w:rPr>
          <w:b w:val="0"/>
          <w:bCs w:val="0"/>
          <w:sz w:val="28"/>
          <w:szCs w:val="28"/>
          <w:highlight w:val="none"/>
          <w:u w:val="none"/>
        </w:rPr>
      </w:r>
    </w:p>
    <w:p>
      <w:pPr>
        <w:pStyle w:val="805"/>
        <w:numPr>
          <w:numId w:val="43"/>
          <w:ilvl w:val="0"/>
        </w:numPr>
        <w:ind w:left="0" w:right="0" w:firstLine="567"/>
        <w:jc w:val="both"/>
        <w:rPr>
          <w:b w:val="0"/>
          <w:bCs w:val="0"/>
          <w:sz w:val="28"/>
          <w:szCs w:val="28"/>
          <w:highlight w:val="none"/>
          <w:u w:val="none"/>
        </w:rPr>
      </w:pPr>
      <w:r>
        <w:rPr>
          <w:b w:val="0"/>
          <w:bCs w:val="0"/>
          <w:sz w:val="28"/>
          <w:szCs w:val="28"/>
          <w:highlight w:val="none"/>
          <w:u w:val="none"/>
        </w:rPr>
        <w:t xml:space="preserve">проводить анализ разрабатываемых проектов муниципальных правовых актов с целью выявления возможных рисков нарушения антимонопольного законодательства.</w:t>
      </w:r>
      <w:r>
        <w:rPr>
          <w:b w:val="0"/>
          <w:bCs w:val="0"/>
          <w:sz w:val="28"/>
          <w:szCs w:val="28"/>
          <w:highlight w:val="none"/>
          <w:u w:val="none"/>
        </w:rPr>
      </w:r>
      <w:r>
        <w:rPr>
          <w:b w:val="0"/>
          <w:bCs w:val="0"/>
          <w:sz w:val="28"/>
          <w:szCs w:val="28"/>
          <w:highlight w:val="none"/>
          <w:u w:val="none"/>
        </w:rPr>
      </w:r>
    </w:p>
    <w:p>
      <w:pPr>
        <w:ind w:left="0" w:right="0" w:firstLine="992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Департаменту экономического развития и инвестиций: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05"/>
        <w:numPr>
          <w:numId w:val="35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проводить анализ практики рассмотрения жалоб, поступивших в адрес Нижегородского УФАС России, ФАС России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действия (бездействие) заказчика и комиссии по определению поставщика (подрядчика, испол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нителя)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05"/>
        <w:numPr>
          <w:numId w:val="35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запланировать проведение совместного совещания с </w:t>
      </w:r>
      <w:r>
        <w:rPr>
          <w:sz w:val="28"/>
          <w:szCs w:val="28"/>
          <w:highlight w:val="none"/>
        </w:rPr>
        <w:t xml:space="preserve">представителями  Нижегородского УФАС России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 обсуждению правоприменительной практики антимонопольного законодательства;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05"/>
        <w:numPr>
          <w:numId w:val="58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запланировать проведение совместного совещания с участием представителей </w:t>
      </w:r>
      <w:r>
        <w:rPr>
          <w:sz w:val="28"/>
          <w:szCs w:val="28"/>
        </w:rPr>
        <w:t xml:space="preserve">отраслевых (функциональных) и территориальных органов администрации города Нижнего Новгорода, подведомственных администрации города Нижнего Новгорода учреждений, осуществляющими закупки, по анализу выявленных в ходе проверок </w:t>
      </w:r>
      <w:r>
        <w:rPr>
          <w:sz w:val="28"/>
          <w:szCs w:val="28"/>
          <w:highlight w:val="none"/>
        </w:rPr>
        <w:t xml:space="preserve">контрольно-ревизионного департаментом </w:t>
      </w:r>
      <w:r>
        <w:rPr>
          <w:sz w:val="28"/>
          <w:szCs w:val="28"/>
        </w:rPr>
        <w:t xml:space="preserve">нарушений при осуществлении закупок;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05"/>
        <w:numPr>
          <w:numId w:val="58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sz w:val="28"/>
          <w:szCs w:val="28"/>
          <w:highlight w:val="none"/>
        </w:rPr>
        <w:t xml:space="preserve">разработать перечень вопросов по антимонопольному комплаенсу для включения в аттестацию.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2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567" w:righ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lef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sectPr>
      <w:footnotePr/>
      <w:endnotePr/>
      <w:type w:val="continuous"/>
      <w:pgSz w:w="11907" w:h="16834" w:orient="portrait"/>
      <w:pgMar w:top="1134" w:right="567" w:bottom="1134" w:left="1134" w:header="289" w:footer="28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5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5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5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5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5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5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5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5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5"/>
        <w:u w:val="none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tabs>
          <w:tab w:val="num" w:pos="1080" w:leader="none"/>
        </w:tabs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tabs>
          <w:tab w:val="num" w:pos="1080" w:leader="none"/>
        </w:tabs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360" w:leader="none"/>
        </w:tabs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tabs>
          <w:tab w:val="num" w:pos="1080" w:leader="none"/>
        </w:tabs>
        <w:ind w:left="108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927" w:leader="none"/>
        </w:tabs>
        <w:ind w:left="92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927" w:leader="none"/>
        </w:tabs>
        <w:ind w:left="92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927" w:leader="none"/>
        </w:tabs>
        <w:ind w:left="92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510" w:leader="none"/>
        </w:tabs>
        <w:ind w:left="510" w:hanging="51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450" w:leader="none"/>
        </w:tabs>
        <w:ind w:left="450" w:hanging="45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0"/>
      <w:numFmt w:val="bullet"/>
      <w:isLgl w:val="false"/>
      <w:suff w:val="tab"/>
      <w:lvlText w:val="-"/>
      <w:lvlJc w:val="left"/>
      <w:pPr>
        <w:tabs>
          <w:tab w:val="num" w:pos="1080" w:leader="none"/>
        </w:tabs>
        <w:ind w:left="108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360" w:leader="none"/>
        </w:tabs>
        <w:ind w:left="360" w:hanging="360"/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" w:hanging="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-"/>
      <w:lvlJc w:val="left"/>
      <w:pPr>
        <w:ind w:left="1" w:hanging="1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012" w:hanging="18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019" w:hanging="18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25" w:hanging="18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032" w:hanging="18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38" w:hanging="18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45" w:hanging="18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51" w:hanging="188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" w:hanging="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-"/>
      <w:lvlJc w:val="left"/>
      <w:pPr>
        <w:ind w:left="1" w:hanging="1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012" w:hanging="18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019" w:hanging="18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25" w:hanging="18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032" w:hanging="18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38" w:hanging="18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45" w:hanging="18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51" w:hanging="188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" w:hanging="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-"/>
      <w:lvlJc w:val="left"/>
      <w:pPr>
        <w:ind w:left="1" w:hanging="1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012" w:hanging="18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019" w:hanging="18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25" w:hanging="18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032" w:hanging="18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38" w:hanging="18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45" w:hanging="18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51" w:hanging="188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1"/>
  </w:num>
  <w:num w:numId="2">
    <w:abstractNumId w:val="12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14"/>
  </w:num>
  <w:num w:numId="8">
    <w:abstractNumId w:val="8"/>
  </w:num>
  <w:num w:numId="9">
    <w:abstractNumId w:val="11"/>
  </w:num>
  <w:num w:numId="10">
    <w:abstractNumId w:val="20"/>
  </w:num>
  <w:num w:numId="11">
    <w:abstractNumId w:val="6"/>
  </w:num>
  <w:num w:numId="12">
    <w:abstractNumId w:val="22"/>
  </w:num>
  <w:num w:numId="13">
    <w:abstractNumId w:val="16"/>
  </w:num>
  <w:num w:numId="14">
    <w:abstractNumId w:val="9"/>
  </w:num>
  <w:num w:numId="15">
    <w:abstractNumId w:val="17"/>
  </w:num>
  <w:num w:numId="16">
    <w:abstractNumId w:val="7"/>
  </w:num>
  <w:num w:numId="17">
    <w:abstractNumId w:val="18"/>
  </w:num>
  <w:num w:numId="18">
    <w:abstractNumId w:val="19"/>
  </w:num>
  <w:num w:numId="19">
    <w:abstractNumId w:val="15"/>
  </w:num>
  <w:num w:numId="20">
    <w:abstractNumId w:val="23"/>
  </w:num>
  <w:num w:numId="21">
    <w:abstractNumId w:val="0"/>
  </w:num>
  <w:num w:numId="22">
    <w:abstractNumId w:val="4"/>
  </w:num>
  <w:num w:numId="23">
    <w:abstractNumId w:val="2"/>
  </w:num>
  <w:num w:numId="24">
    <w:abstractNumId w:val="1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7">
    <w:name w:val="Heading 1"/>
    <w:basedOn w:val="965"/>
    <w:next w:val="965"/>
    <w:link w:val="78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8">
    <w:name w:val="Heading 1 Char"/>
    <w:link w:val="787"/>
    <w:uiPriority w:val="9"/>
    <w:rPr>
      <w:rFonts w:ascii="Arial" w:hAnsi="Arial" w:eastAsia="Arial" w:cs="Arial"/>
      <w:sz w:val="40"/>
      <w:szCs w:val="40"/>
    </w:rPr>
  </w:style>
  <w:style w:type="paragraph" w:styleId="789">
    <w:name w:val="Heading 2"/>
    <w:basedOn w:val="965"/>
    <w:next w:val="965"/>
    <w:link w:val="79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0">
    <w:name w:val="Heading 2 Char"/>
    <w:link w:val="789"/>
    <w:uiPriority w:val="9"/>
    <w:rPr>
      <w:rFonts w:ascii="Arial" w:hAnsi="Arial" w:eastAsia="Arial" w:cs="Arial"/>
      <w:sz w:val="34"/>
    </w:rPr>
  </w:style>
  <w:style w:type="paragraph" w:styleId="791">
    <w:name w:val="Heading 3"/>
    <w:basedOn w:val="965"/>
    <w:next w:val="965"/>
    <w:link w:val="79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2">
    <w:name w:val="Heading 3 Char"/>
    <w:link w:val="791"/>
    <w:uiPriority w:val="9"/>
    <w:rPr>
      <w:rFonts w:ascii="Arial" w:hAnsi="Arial" w:eastAsia="Arial" w:cs="Arial"/>
      <w:sz w:val="30"/>
      <w:szCs w:val="30"/>
    </w:rPr>
  </w:style>
  <w:style w:type="paragraph" w:styleId="793">
    <w:name w:val="Heading 4"/>
    <w:basedOn w:val="965"/>
    <w:next w:val="965"/>
    <w:link w:val="79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4">
    <w:name w:val="Heading 4 Char"/>
    <w:link w:val="793"/>
    <w:uiPriority w:val="9"/>
    <w:rPr>
      <w:rFonts w:ascii="Arial" w:hAnsi="Arial" w:eastAsia="Arial" w:cs="Arial"/>
      <w:b/>
      <w:bCs/>
      <w:sz w:val="26"/>
      <w:szCs w:val="26"/>
    </w:rPr>
  </w:style>
  <w:style w:type="paragraph" w:styleId="795">
    <w:name w:val="Heading 5"/>
    <w:basedOn w:val="965"/>
    <w:next w:val="965"/>
    <w:link w:val="79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6">
    <w:name w:val="Heading 5 Char"/>
    <w:link w:val="795"/>
    <w:uiPriority w:val="9"/>
    <w:rPr>
      <w:rFonts w:ascii="Arial" w:hAnsi="Arial" w:eastAsia="Arial" w:cs="Arial"/>
      <w:b/>
      <w:bCs/>
      <w:sz w:val="24"/>
      <w:szCs w:val="24"/>
    </w:rPr>
  </w:style>
  <w:style w:type="paragraph" w:styleId="797">
    <w:name w:val="Heading 6"/>
    <w:basedOn w:val="965"/>
    <w:next w:val="965"/>
    <w:link w:val="79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8">
    <w:name w:val="Heading 6 Char"/>
    <w:link w:val="797"/>
    <w:uiPriority w:val="9"/>
    <w:rPr>
      <w:rFonts w:ascii="Arial" w:hAnsi="Arial" w:eastAsia="Arial" w:cs="Arial"/>
      <w:b/>
      <w:bCs/>
      <w:sz w:val="22"/>
      <w:szCs w:val="22"/>
    </w:rPr>
  </w:style>
  <w:style w:type="paragraph" w:styleId="799">
    <w:name w:val="Heading 7"/>
    <w:basedOn w:val="965"/>
    <w:next w:val="965"/>
    <w:link w:val="80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7 Char"/>
    <w:link w:val="7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1">
    <w:name w:val="Heading 8"/>
    <w:basedOn w:val="965"/>
    <w:next w:val="965"/>
    <w:link w:val="80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2">
    <w:name w:val="Heading 8 Char"/>
    <w:link w:val="801"/>
    <w:uiPriority w:val="9"/>
    <w:rPr>
      <w:rFonts w:ascii="Arial" w:hAnsi="Arial" w:eastAsia="Arial" w:cs="Arial"/>
      <w:i/>
      <w:iCs/>
      <w:sz w:val="22"/>
      <w:szCs w:val="22"/>
    </w:rPr>
  </w:style>
  <w:style w:type="paragraph" w:styleId="803">
    <w:name w:val="Heading 9"/>
    <w:basedOn w:val="965"/>
    <w:next w:val="965"/>
    <w:link w:val="80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4">
    <w:name w:val="Heading 9 Char"/>
    <w:link w:val="803"/>
    <w:uiPriority w:val="9"/>
    <w:rPr>
      <w:rFonts w:ascii="Arial" w:hAnsi="Arial" w:eastAsia="Arial" w:cs="Arial"/>
      <w:i/>
      <w:iCs/>
      <w:sz w:val="21"/>
      <w:szCs w:val="21"/>
    </w:rPr>
  </w:style>
  <w:style w:type="paragraph" w:styleId="805">
    <w:name w:val="List Paragraph"/>
    <w:basedOn w:val="965"/>
    <w:uiPriority w:val="34"/>
    <w:qFormat/>
    <w:pPr>
      <w:ind w:left="720"/>
      <w:contextualSpacing/>
    </w:pPr>
  </w:style>
  <w:style w:type="paragraph" w:styleId="806">
    <w:name w:val="No Spacing"/>
    <w:uiPriority w:val="1"/>
    <w:qFormat/>
    <w:pPr>
      <w:spacing w:before="0" w:after="0" w:line="240" w:lineRule="auto"/>
    </w:pPr>
  </w:style>
  <w:style w:type="paragraph" w:styleId="807">
    <w:name w:val="Title"/>
    <w:basedOn w:val="965"/>
    <w:next w:val="965"/>
    <w:link w:val="80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808">
    <w:name w:val="Title Char"/>
    <w:link w:val="807"/>
    <w:uiPriority w:val="10"/>
    <w:rPr>
      <w:sz w:val="48"/>
      <w:szCs w:val="48"/>
    </w:rPr>
  </w:style>
  <w:style w:type="paragraph" w:styleId="809">
    <w:name w:val="Subtitle"/>
    <w:basedOn w:val="965"/>
    <w:next w:val="965"/>
    <w:link w:val="810"/>
    <w:uiPriority w:val="11"/>
    <w:qFormat/>
    <w:pPr>
      <w:spacing w:before="200" w:after="200"/>
    </w:pPr>
    <w:rPr>
      <w:sz w:val="24"/>
      <w:szCs w:val="24"/>
    </w:rPr>
  </w:style>
  <w:style w:type="character" w:styleId="810">
    <w:name w:val="Subtitle Char"/>
    <w:link w:val="809"/>
    <w:uiPriority w:val="11"/>
    <w:rPr>
      <w:sz w:val="24"/>
      <w:szCs w:val="24"/>
    </w:rPr>
  </w:style>
  <w:style w:type="paragraph" w:styleId="811">
    <w:name w:val="Quote"/>
    <w:basedOn w:val="965"/>
    <w:next w:val="965"/>
    <w:link w:val="812"/>
    <w:uiPriority w:val="29"/>
    <w:qFormat/>
    <w:pPr>
      <w:ind w:left="720" w:right="720"/>
    </w:pPr>
    <w:rPr>
      <w:i/>
    </w:rPr>
  </w:style>
  <w:style w:type="character" w:styleId="812">
    <w:name w:val="Quote Char"/>
    <w:link w:val="811"/>
    <w:uiPriority w:val="29"/>
    <w:rPr>
      <w:i/>
    </w:rPr>
  </w:style>
  <w:style w:type="paragraph" w:styleId="813">
    <w:name w:val="Intense Quote"/>
    <w:basedOn w:val="965"/>
    <w:next w:val="965"/>
    <w:link w:val="8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814">
    <w:name w:val="Intense Quote Char"/>
    <w:link w:val="813"/>
    <w:uiPriority w:val="30"/>
    <w:rPr>
      <w:i/>
    </w:rPr>
  </w:style>
  <w:style w:type="paragraph" w:styleId="815">
    <w:name w:val="Header"/>
    <w:basedOn w:val="965"/>
    <w:link w:val="81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816">
    <w:name w:val="Header Char"/>
    <w:link w:val="815"/>
    <w:uiPriority w:val="99"/>
  </w:style>
  <w:style w:type="paragraph" w:styleId="817">
    <w:name w:val="Footer"/>
    <w:basedOn w:val="965"/>
    <w:link w:val="82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818">
    <w:name w:val="Footer Char"/>
    <w:link w:val="817"/>
    <w:uiPriority w:val="99"/>
  </w:style>
  <w:style w:type="paragraph" w:styleId="819">
    <w:name w:val="Caption"/>
    <w:basedOn w:val="965"/>
    <w:next w:val="965"/>
    <w:link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0">
    <w:name w:val="Caption Char"/>
    <w:basedOn w:val="819"/>
    <w:link w:val="817"/>
    <w:uiPriority w:val="99"/>
  </w:style>
  <w:style w:type="table" w:styleId="82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5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5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6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6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6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6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2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2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2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2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2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2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7">
    <w:name w:val="Hyperlink"/>
    <w:uiPriority w:val="99"/>
    <w:unhideWhenUsed/>
    <w:rPr>
      <w:color w:val="0000ff" w:themeColor="hyperlink"/>
      <w:u w:val="single"/>
    </w:rPr>
  </w:style>
  <w:style w:type="paragraph" w:styleId="948">
    <w:name w:val="footnote text"/>
    <w:basedOn w:val="965"/>
    <w:link w:val="949"/>
    <w:uiPriority w:val="99"/>
    <w:semiHidden/>
    <w:unhideWhenUsed/>
    <w:pPr>
      <w:spacing w:after="40" w:line="240" w:lineRule="auto"/>
    </w:pPr>
    <w:rPr>
      <w:sz w:val="18"/>
    </w:rPr>
  </w:style>
  <w:style w:type="character" w:styleId="949">
    <w:name w:val="Footnote Text Char"/>
    <w:link w:val="948"/>
    <w:uiPriority w:val="99"/>
    <w:rPr>
      <w:sz w:val="18"/>
    </w:rPr>
  </w:style>
  <w:style w:type="character" w:styleId="950">
    <w:name w:val="footnote reference"/>
    <w:uiPriority w:val="99"/>
    <w:unhideWhenUsed/>
    <w:rPr>
      <w:vertAlign w:val="superscript"/>
    </w:rPr>
  </w:style>
  <w:style w:type="paragraph" w:styleId="951">
    <w:name w:val="endnote text"/>
    <w:basedOn w:val="965"/>
    <w:link w:val="952"/>
    <w:uiPriority w:val="99"/>
    <w:semiHidden/>
    <w:unhideWhenUsed/>
    <w:pPr>
      <w:spacing w:after="0" w:line="240" w:lineRule="auto"/>
    </w:pPr>
    <w:rPr>
      <w:sz w:val="20"/>
    </w:rPr>
  </w:style>
  <w:style w:type="character" w:styleId="952">
    <w:name w:val="Endnote Text Char"/>
    <w:link w:val="951"/>
    <w:uiPriority w:val="99"/>
    <w:rPr>
      <w:sz w:val="20"/>
    </w:rPr>
  </w:style>
  <w:style w:type="character" w:styleId="953">
    <w:name w:val="endnote reference"/>
    <w:uiPriority w:val="99"/>
    <w:semiHidden/>
    <w:unhideWhenUsed/>
    <w:rPr>
      <w:vertAlign w:val="superscript"/>
    </w:rPr>
  </w:style>
  <w:style w:type="paragraph" w:styleId="954">
    <w:name w:val="toc 1"/>
    <w:basedOn w:val="965"/>
    <w:next w:val="965"/>
    <w:uiPriority w:val="39"/>
    <w:unhideWhenUsed/>
    <w:pPr>
      <w:spacing w:after="57"/>
      <w:ind w:left="0" w:right="0" w:firstLine="0"/>
    </w:pPr>
  </w:style>
  <w:style w:type="paragraph" w:styleId="955">
    <w:name w:val="toc 2"/>
    <w:basedOn w:val="965"/>
    <w:next w:val="965"/>
    <w:uiPriority w:val="39"/>
    <w:unhideWhenUsed/>
    <w:pPr>
      <w:spacing w:after="57"/>
      <w:ind w:left="283" w:right="0" w:firstLine="0"/>
    </w:pPr>
  </w:style>
  <w:style w:type="paragraph" w:styleId="956">
    <w:name w:val="toc 3"/>
    <w:basedOn w:val="965"/>
    <w:next w:val="965"/>
    <w:uiPriority w:val="39"/>
    <w:unhideWhenUsed/>
    <w:pPr>
      <w:spacing w:after="57"/>
      <w:ind w:left="567" w:right="0" w:firstLine="0"/>
    </w:pPr>
  </w:style>
  <w:style w:type="paragraph" w:styleId="957">
    <w:name w:val="toc 4"/>
    <w:basedOn w:val="965"/>
    <w:next w:val="965"/>
    <w:uiPriority w:val="39"/>
    <w:unhideWhenUsed/>
    <w:pPr>
      <w:spacing w:after="57"/>
      <w:ind w:left="850" w:right="0" w:firstLine="0"/>
    </w:pPr>
  </w:style>
  <w:style w:type="paragraph" w:styleId="958">
    <w:name w:val="toc 5"/>
    <w:basedOn w:val="965"/>
    <w:next w:val="965"/>
    <w:uiPriority w:val="39"/>
    <w:unhideWhenUsed/>
    <w:pPr>
      <w:spacing w:after="57"/>
      <w:ind w:left="1134" w:right="0" w:firstLine="0"/>
    </w:pPr>
  </w:style>
  <w:style w:type="paragraph" w:styleId="959">
    <w:name w:val="toc 6"/>
    <w:basedOn w:val="965"/>
    <w:next w:val="965"/>
    <w:uiPriority w:val="39"/>
    <w:unhideWhenUsed/>
    <w:pPr>
      <w:spacing w:after="57"/>
      <w:ind w:left="1417" w:right="0" w:firstLine="0"/>
    </w:pPr>
  </w:style>
  <w:style w:type="paragraph" w:styleId="960">
    <w:name w:val="toc 7"/>
    <w:basedOn w:val="965"/>
    <w:next w:val="965"/>
    <w:uiPriority w:val="39"/>
    <w:unhideWhenUsed/>
    <w:pPr>
      <w:spacing w:after="57"/>
      <w:ind w:left="1701" w:right="0" w:firstLine="0"/>
    </w:pPr>
  </w:style>
  <w:style w:type="paragraph" w:styleId="961">
    <w:name w:val="toc 8"/>
    <w:basedOn w:val="965"/>
    <w:next w:val="965"/>
    <w:uiPriority w:val="39"/>
    <w:unhideWhenUsed/>
    <w:pPr>
      <w:spacing w:after="57"/>
      <w:ind w:left="1984" w:right="0" w:firstLine="0"/>
    </w:pPr>
  </w:style>
  <w:style w:type="paragraph" w:styleId="962">
    <w:name w:val="toc 9"/>
    <w:basedOn w:val="965"/>
    <w:next w:val="965"/>
    <w:uiPriority w:val="39"/>
    <w:unhideWhenUsed/>
    <w:pPr>
      <w:spacing w:after="57"/>
      <w:ind w:left="2268" w:right="0" w:firstLine="0"/>
    </w:pPr>
  </w:style>
  <w:style w:type="paragraph" w:styleId="963">
    <w:name w:val="TOC Heading"/>
    <w:uiPriority w:val="39"/>
    <w:unhideWhenUsed/>
  </w:style>
  <w:style w:type="paragraph" w:styleId="964">
    <w:name w:val="table of figures"/>
    <w:basedOn w:val="965"/>
    <w:next w:val="965"/>
    <w:uiPriority w:val="99"/>
    <w:unhideWhenUsed/>
    <w:pPr>
      <w:spacing w:after="0" w:afterAutospacing="0"/>
    </w:pPr>
  </w:style>
  <w:style w:type="paragraph" w:styleId="965" w:default="1">
    <w:name w:val="Normal"/>
    <w:next w:val="965"/>
    <w:link w:val="965"/>
    <w:qFormat/>
    <w:rPr>
      <w:lang w:val="ru-RU" w:eastAsia="ru-RU" w:bidi="ar-SA"/>
    </w:rPr>
  </w:style>
  <w:style w:type="paragraph" w:styleId="966">
    <w:name w:val="Заголовок 1"/>
    <w:basedOn w:val="965"/>
    <w:next w:val="965"/>
    <w:link w:val="965"/>
    <w:qFormat/>
    <w:pPr>
      <w:keepNext/>
      <w:ind w:firstLine="426"/>
      <w:jc w:val="both"/>
      <w:outlineLvl w:val="0"/>
    </w:pPr>
    <w:rPr>
      <w:sz w:val="28"/>
    </w:rPr>
  </w:style>
  <w:style w:type="paragraph" w:styleId="967">
    <w:name w:val="Заголовок 2"/>
    <w:basedOn w:val="965"/>
    <w:next w:val="965"/>
    <w:link w:val="965"/>
    <w:qFormat/>
    <w:pPr>
      <w:keepNext/>
      <w:outlineLvl w:val="1"/>
    </w:pPr>
    <w:rPr>
      <w:sz w:val="28"/>
    </w:rPr>
  </w:style>
  <w:style w:type="paragraph" w:styleId="968">
    <w:name w:val="Заголовок 3"/>
    <w:basedOn w:val="965"/>
    <w:next w:val="965"/>
    <w:link w:val="965"/>
    <w:qFormat/>
    <w:pPr>
      <w:keepNext/>
      <w:jc w:val="both"/>
      <w:outlineLvl w:val="2"/>
    </w:pPr>
    <w:rPr>
      <w:sz w:val="28"/>
    </w:rPr>
  </w:style>
  <w:style w:type="paragraph" w:styleId="969">
    <w:name w:val="Заголовок 4"/>
    <w:basedOn w:val="965"/>
    <w:next w:val="965"/>
    <w:link w:val="965"/>
    <w:qFormat/>
    <w:pPr>
      <w:keepNext/>
      <w:ind w:firstLine="851"/>
      <w:outlineLvl w:val="3"/>
    </w:pPr>
    <w:rPr>
      <w:sz w:val="28"/>
    </w:rPr>
  </w:style>
  <w:style w:type="paragraph" w:styleId="970">
    <w:name w:val="Заголовок 5"/>
    <w:basedOn w:val="965"/>
    <w:next w:val="965"/>
    <w:link w:val="965"/>
    <w:qFormat/>
    <w:pPr>
      <w:keepNext/>
      <w:outlineLvl w:val="4"/>
    </w:pPr>
    <w:rPr>
      <w:sz w:val="24"/>
    </w:rPr>
  </w:style>
  <w:style w:type="paragraph" w:styleId="971">
    <w:name w:val="Заголовок 6"/>
    <w:basedOn w:val="965"/>
    <w:next w:val="965"/>
    <w:link w:val="965"/>
    <w:qFormat/>
    <w:pPr>
      <w:keepNext/>
      <w:ind w:left="284"/>
      <w:jc w:val="center"/>
      <w:outlineLvl w:val="5"/>
    </w:pPr>
    <w:rPr>
      <w:b/>
      <w:sz w:val="30"/>
    </w:rPr>
  </w:style>
  <w:style w:type="paragraph" w:styleId="972">
    <w:name w:val="Заголовок 7"/>
    <w:basedOn w:val="965"/>
    <w:next w:val="965"/>
    <w:link w:val="965"/>
    <w:qFormat/>
    <w:pPr>
      <w:spacing w:before="240" w:after="60"/>
      <w:outlineLvl w:val="6"/>
    </w:pPr>
    <w:rPr>
      <w:sz w:val="24"/>
      <w:szCs w:val="24"/>
    </w:rPr>
  </w:style>
  <w:style w:type="character" w:styleId="973">
    <w:name w:val="Основной шрифт абзаца"/>
    <w:next w:val="973"/>
    <w:link w:val="965"/>
    <w:semiHidden/>
  </w:style>
  <w:style w:type="table" w:styleId="974">
    <w:name w:val="Обычная таблица"/>
    <w:next w:val="974"/>
    <w:link w:val="965"/>
    <w:semiHidden/>
    <w:tblPr/>
  </w:style>
  <w:style w:type="numbering" w:styleId="975">
    <w:name w:val="Нет списка"/>
    <w:next w:val="975"/>
    <w:link w:val="965"/>
    <w:semiHidden/>
  </w:style>
  <w:style w:type="paragraph" w:styleId="976">
    <w:name w:val="Основной текст"/>
    <w:basedOn w:val="965"/>
    <w:next w:val="976"/>
    <w:link w:val="965"/>
    <w:pPr>
      <w:jc w:val="both"/>
    </w:pPr>
    <w:rPr>
      <w:sz w:val="28"/>
    </w:rPr>
  </w:style>
  <w:style w:type="paragraph" w:styleId="977">
    <w:name w:val="Основной текст с отступом"/>
    <w:basedOn w:val="965"/>
    <w:next w:val="977"/>
    <w:link w:val="988"/>
    <w:pPr>
      <w:ind w:firstLine="567"/>
    </w:pPr>
    <w:rPr>
      <w:sz w:val="28"/>
    </w:rPr>
  </w:style>
  <w:style w:type="paragraph" w:styleId="978">
    <w:name w:val="Основной текст с отступом 2"/>
    <w:basedOn w:val="965"/>
    <w:next w:val="978"/>
    <w:link w:val="965"/>
    <w:pPr>
      <w:ind w:firstLine="851"/>
      <w:jc w:val="both"/>
    </w:pPr>
    <w:rPr>
      <w:sz w:val="28"/>
    </w:rPr>
  </w:style>
  <w:style w:type="paragraph" w:styleId="979">
    <w:name w:val="Основной текст с отступом 3"/>
    <w:basedOn w:val="965"/>
    <w:next w:val="979"/>
    <w:link w:val="965"/>
    <w:pPr>
      <w:ind w:firstLine="851"/>
    </w:pPr>
    <w:rPr>
      <w:sz w:val="28"/>
      <w:lang w:val="en-US"/>
    </w:rPr>
  </w:style>
  <w:style w:type="paragraph" w:styleId="980">
    <w:name w:val="Название объекта"/>
    <w:basedOn w:val="965"/>
    <w:next w:val="965"/>
    <w:link w:val="965"/>
    <w:qFormat/>
    <w:pPr>
      <w:jc w:val="center"/>
    </w:pPr>
    <w:rPr>
      <w:b/>
      <w:sz w:val="32"/>
    </w:rPr>
  </w:style>
  <w:style w:type="paragraph" w:styleId="981">
    <w:name w:val="Цитата"/>
    <w:basedOn w:val="965"/>
    <w:next w:val="981"/>
    <w:link w:val="965"/>
    <w:pPr>
      <w:tabs>
        <w:tab w:val="left" w:pos="0" w:leader="none"/>
        <w:tab w:val="left" w:pos="5245" w:leader="none"/>
      </w:tabs>
      <w:ind w:left="142" w:right="3967"/>
      <w:jc w:val="both"/>
    </w:pPr>
    <w:rPr>
      <w:sz w:val="28"/>
    </w:rPr>
  </w:style>
  <w:style w:type="character" w:styleId="982">
    <w:name w:val="Гиперссылка"/>
    <w:next w:val="982"/>
    <w:link w:val="965"/>
    <w:rPr>
      <w:color w:val="0000ff"/>
      <w:u w:val="single"/>
    </w:rPr>
  </w:style>
  <w:style w:type="paragraph" w:styleId="983">
    <w:name w:val="Текст выноски"/>
    <w:basedOn w:val="965"/>
    <w:next w:val="983"/>
    <w:link w:val="965"/>
    <w:semiHidden/>
    <w:rPr>
      <w:rFonts w:ascii="Tahoma" w:hAnsi="Tahoma" w:cs="Tahoma"/>
      <w:sz w:val="16"/>
      <w:szCs w:val="16"/>
    </w:rPr>
  </w:style>
  <w:style w:type="paragraph" w:styleId="984">
    <w:name w:val="Верхний колонтитул"/>
    <w:basedOn w:val="965"/>
    <w:next w:val="984"/>
    <w:link w:val="985"/>
    <w:pPr>
      <w:tabs>
        <w:tab w:val="center" w:pos="4677" w:leader="none"/>
        <w:tab w:val="right" w:pos="9355" w:leader="none"/>
      </w:tabs>
    </w:pPr>
  </w:style>
  <w:style w:type="character" w:styleId="985">
    <w:name w:val="Верхний колонтитул Знак"/>
    <w:basedOn w:val="973"/>
    <w:next w:val="985"/>
    <w:link w:val="984"/>
  </w:style>
  <w:style w:type="paragraph" w:styleId="986">
    <w:name w:val="Нижний колонтитул"/>
    <w:basedOn w:val="965"/>
    <w:next w:val="986"/>
    <w:link w:val="987"/>
    <w:pPr>
      <w:tabs>
        <w:tab w:val="center" w:pos="4677" w:leader="none"/>
        <w:tab w:val="right" w:pos="9355" w:leader="none"/>
      </w:tabs>
    </w:pPr>
  </w:style>
  <w:style w:type="character" w:styleId="987">
    <w:name w:val="Нижний колонтитул Знак"/>
    <w:basedOn w:val="973"/>
    <w:next w:val="987"/>
    <w:link w:val="986"/>
  </w:style>
  <w:style w:type="character" w:styleId="988">
    <w:name w:val="Основной текст с отступом Знак"/>
    <w:next w:val="988"/>
    <w:link w:val="977"/>
    <w:rPr>
      <w:sz w:val="28"/>
    </w:rPr>
  </w:style>
  <w:style w:type="character" w:styleId="989" w:default="1">
    <w:name w:val="Default Paragraph Font"/>
    <w:uiPriority w:val="1"/>
    <w:semiHidden/>
    <w:unhideWhenUsed/>
  </w:style>
  <w:style w:type="numbering" w:styleId="990" w:default="1">
    <w:name w:val="No List"/>
    <w:uiPriority w:val="99"/>
    <w:semiHidden/>
    <w:unhideWhenUsed/>
  </w:style>
  <w:style w:type="table" w:styleId="991" w:default="1">
    <w:name w:val="Normal Table"/>
    <w:uiPriority w:val="99"/>
    <w:semiHidden/>
    <w:unhideWhenUsed/>
    <w:tblPr/>
  </w:style>
  <w:style w:type="paragraph" w:styleId="992" w:customStyle="1">
    <w:name w:val="Body Text"/>
    <w:basedOn w:val="841"/>
    <w:uiPriority w:val="1"/>
    <w:qFormat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1" w:right="0" w:firstLine="707"/>
      <w:contextualSpacing w:val="0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clck.ru/3S7aw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o.kopytova</cp:lastModifiedBy>
  <cp:revision>169</cp:revision>
  <dcterms:created xsi:type="dcterms:W3CDTF">2020-04-06T08:53:00Z</dcterms:created>
  <dcterms:modified xsi:type="dcterms:W3CDTF">2026-04-06T11:36:33Z</dcterms:modified>
  <cp:version>1048576</cp:version>
</cp:coreProperties>
</file>